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49" w:rsidRPr="002D5870" w:rsidRDefault="00E97549" w:rsidP="00DF3AAB">
      <w:pPr>
        <w:pStyle w:val="Header"/>
        <w:rPr>
          <w:lang w:val="ru-RU"/>
        </w:rPr>
      </w:pPr>
      <w:r w:rsidRPr="002D5870">
        <w:tab/>
      </w:r>
      <w:r w:rsidRPr="002D5870">
        <w:rPr>
          <w:lang w:val="ru-RU"/>
        </w:rPr>
        <w:t>5. Одномерные и нульмерные системы</w:t>
      </w:r>
    </w:p>
    <w:p w:rsidR="00E97549" w:rsidRPr="002D5870" w:rsidRDefault="00E97549" w:rsidP="00100A98">
      <w:pPr>
        <w:pStyle w:val="Heading1"/>
        <w:numPr>
          <w:ilvl w:val="0"/>
          <w:numId w:val="0"/>
        </w:numPr>
      </w:pPr>
      <w:r w:rsidRPr="002D5870">
        <w:t xml:space="preserve">Моделирование спектров фотолюминесценции неоднородных массивов эпитаксиальных квантовых точек </w:t>
      </w:r>
      <w:r w:rsidRPr="002D5870">
        <w:rPr>
          <w:lang w:val="en-US"/>
        </w:rPr>
        <w:t>CdSe</w:t>
      </w:r>
      <w:r w:rsidRPr="002D5870">
        <w:t>/</w:t>
      </w:r>
      <w:r w:rsidRPr="002D5870">
        <w:rPr>
          <w:lang w:val="en-US"/>
        </w:rPr>
        <w:t>ZnSe</w:t>
      </w:r>
      <w:r w:rsidRPr="002D5870">
        <w:t xml:space="preserve"> </w:t>
      </w:r>
    </w:p>
    <w:p w:rsidR="00E97549" w:rsidRPr="002D5870" w:rsidRDefault="00E97549" w:rsidP="00AE416F">
      <w:pPr>
        <w:jc w:val="center"/>
        <w:rPr>
          <w:b/>
          <w:szCs w:val="24"/>
          <w:lang w:val="ru-RU"/>
        </w:rPr>
      </w:pPr>
      <w:r w:rsidRPr="002D5870">
        <w:rPr>
          <w:b/>
          <w:szCs w:val="24"/>
          <w:lang w:val="ru-RU"/>
        </w:rPr>
        <w:t>А.</w:t>
      </w:r>
      <w:r w:rsidRPr="002D5870">
        <w:rPr>
          <w:b/>
          <w:szCs w:val="24"/>
        </w:rPr>
        <w:t> </w:t>
      </w:r>
      <w:r w:rsidRPr="002D5870">
        <w:rPr>
          <w:b/>
          <w:szCs w:val="24"/>
          <w:lang w:val="ru-RU"/>
        </w:rPr>
        <w:t>А. Головатенко</w:t>
      </w:r>
      <w:r w:rsidRPr="002D5870">
        <w:rPr>
          <w:bCs/>
          <w:szCs w:val="24"/>
          <w:shd w:val="clear" w:color="auto" w:fill="FFFFFF"/>
          <w:vertAlign w:val="superscript"/>
          <w:lang w:val="ru-RU"/>
        </w:rPr>
        <w:t>1</w:t>
      </w:r>
      <w:r w:rsidRPr="002D5870">
        <w:rPr>
          <w:szCs w:val="24"/>
          <w:lang w:val="ru-RU"/>
        </w:rPr>
        <w:t>, М.</w:t>
      </w:r>
      <w:r w:rsidRPr="002D5870">
        <w:rPr>
          <w:szCs w:val="24"/>
        </w:rPr>
        <w:t> </w:t>
      </w:r>
      <w:r w:rsidRPr="002D5870">
        <w:rPr>
          <w:szCs w:val="24"/>
          <w:lang w:val="ru-RU"/>
        </w:rPr>
        <w:t>А. Семина</w:t>
      </w:r>
      <w:r w:rsidRPr="002D5870">
        <w:rPr>
          <w:bCs/>
          <w:szCs w:val="24"/>
          <w:shd w:val="clear" w:color="auto" w:fill="FFFFFF"/>
          <w:vertAlign w:val="superscript"/>
          <w:lang w:val="ru-RU"/>
        </w:rPr>
        <w:t>1</w:t>
      </w:r>
      <w:r w:rsidRPr="002D5870">
        <w:rPr>
          <w:szCs w:val="24"/>
          <w:lang w:val="ru-RU"/>
        </w:rPr>
        <w:t>, А.</w:t>
      </w:r>
      <w:r w:rsidRPr="002D5870">
        <w:rPr>
          <w:szCs w:val="24"/>
        </w:rPr>
        <w:t> </w:t>
      </w:r>
      <w:r w:rsidRPr="002D5870">
        <w:rPr>
          <w:szCs w:val="24"/>
          <w:lang w:val="ru-RU"/>
        </w:rPr>
        <w:t>В. Родина</w:t>
      </w:r>
      <w:r w:rsidRPr="002D5870">
        <w:rPr>
          <w:bCs/>
          <w:szCs w:val="24"/>
          <w:shd w:val="clear" w:color="auto" w:fill="FFFFFF"/>
          <w:vertAlign w:val="superscript"/>
          <w:lang w:val="ru-RU"/>
        </w:rPr>
        <w:t>1</w:t>
      </w:r>
      <w:r w:rsidRPr="002D5870">
        <w:rPr>
          <w:szCs w:val="24"/>
          <w:lang w:val="ru-RU"/>
        </w:rPr>
        <w:t xml:space="preserve">, </w:t>
      </w:r>
      <w:r w:rsidRPr="002D5870">
        <w:rPr>
          <w:szCs w:val="24"/>
          <w:lang w:val="en-US"/>
        </w:rPr>
        <w:t>T</w:t>
      </w:r>
      <w:r w:rsidRPr="002D5870">
        <w:rPr>
          <w:szCs w:val="24"/>
          <w:lang w:val="ru-RU"/>
        </w:rPr>
        <w:t>. В. Шубина</w:t>
      </w:r>
      <w:r w:rsidRPr="002D5870">
        <w:rPr>
          <w:bCs/>
          <w:szCs w:val="24"/>
          <w:shd w:val="clear" w:color="auto" w:fill="FFFFFF"/>
          <w:vertAlign w:val="superscript"/>
          <w:lang w:val="ru-RU"/>
        </w:rPr>
        <w:t>1</w:t>
      </w:r>
    </w:p>
    <w:p w:rsidR="00E97549" w:rsidRPr="002D5870" w:rsidRDefault="00E97549" w:rsidP="003F2347">
      <w:pPr>
        <w:rPr>
          <w:vertAlign w:val="superscript"/>
          <w:lang w:val="ru-RU"/>
        </w:rPr>
      </w:pPr>
      <w:r w:rsidRPr="002D5870">
        <w:rPr>
          <w:vertAlign w:val="superscript"/>
          <w:lang w:val="ru-RU"/>
        </w:rPr>
        <w:t>1</w:t>
      </w:r>
      <w:r w:rsidRPr="002D5870">
        <w:rPr>
          <w:szCs w:val="24"/>
          <w:lang w:val="ru-RU"/>
        </w:rPr>
        <w:t xml:space="preserve"> ФТИ  им. А.Ф. Иоффе, РАН, Санкт-Петербург, </w:t>
      </w:r>
      <w:r w:rsidRPr="002D5870">
        <w:rPr>
          <w:lang w:val="ru-RU"/>
        </w:rPr>
        <w:t xml:space="preserve">194021, </w:t>
      </w:r>
      <w:r w:rsidRPr="002D5870">
        <w:rPr>
          <w:szCs w:val="24"/>
          <w:lang w:val="ru-RU"/>
        </w:rPr>
        <w:t>Россия</w:t>
      </w:r>
    </w:p>
    <w:p w:rsidR="00E97549" w:rsidRPr="002D5870" w:rsidRDefault="00E97549" w:rsidP="004C71A0">
      <w:pPr>
        <w:pStyle w:val="a4"/>
      </w:pPr>
      <w:r w:rsidRPr="002D5870">
        <w:t xml:space="preserve">тел: (812) 247-2245, факс: (812) 247-1017, эл. почта: </w:t>
      </w:r>
      <w:r w:rsidRPr="002D5870">
        <w:rPr>
          <w:rStyle w:val="Hyperlink"/>
          <w:color w:val="auto"/>
          <w:lang w:val="en-US"/>
        </w:rPr>
        <w:t>sasha</w:t>
      </w:r>
      <w:r w:rsidRPr="002D5870">
        <w:rPr>
          <w:rStyle w:val="Hyperlink"/>
          <w:color w:val="auto"/>
        </w:rPr>
        <w:t>.</w:t>
      </w:r>
      <w:r w:rsidRPr="002D5870">
        <w:rPr>
          <w:rStyle w:val="Hyperlink"/>
          <w:color w:val="auto"/>
          <w:lang w:val="en-US"/>
        </w:rPr>
        <w:t>pti</w:t>
      </w:r>
      <w:r w:rsidRPr="002D5870">
        <w:rPr>
          <w:rStyle w:val="Hyperlink"/>
          <w:color w:val="auto"/>
        </w:rPr>
        <w:t>@</w:t>
      </w:r>
      <w:r w:rsidRPr="002D5870">
        <w:rPr>
          <w:rStyle w:val="Hyperlink"/>
          <w:color w:val="auto"/>
          <w:lang w:val="en-US"/>
        </w:rPr>
        <w:t>mail</w:t>
      </w:r>
      <w:r w:rsidRPr="002D5870">
        <w:rPr>
          <w:rStyle w:val="Hyperlink"/>
          <w:color w:val="auto"/>
        </w:rPr>
        <w:t>.</w:t>
      </w:r>
      <w:r w:rsidRPr="002D5870">
        <w:rPr>
          <w:rStyle w:val="Hyperlink"/>
          <w:color w:val="auto"/>
          <w:lang w:val="en-US"/>
        </w:rPr>
        <w:t>ioffe</w:t>
      </w:r>
      <w:r w:rsidRPr="002D5870">
        <w:rPr>
          <w:rStyle w:val="Hyperlink"/>
          <w:color w:val="auto"/>
        </w:rPr>
        <w:t>.</w:t>
      </w:r>
      <w:r w:rsidRPr="002D5870">
        <w:rPr>
          <w:rStyle w:val="Hyperlink"/>
          <w:color w:val="auto"/>
          <w:lang w:val="en-US"/>
        </w:rPr>
        <w:t>ru</w:t>
      </w:r>
    </w:p>
    <w:p w:rsidR="00E97549" w:rsidRPr="002D5870" w:rsidRDefault="00E97549" w:rsidP="00597B23">
      <w:pPr>
        <w:ind w:firstLine="708"/>
        <w:jc w:val="both"/>
        <w:rPr>
          <w:szCs w:val="24"/>
          <w:lang w:val="ru-RU"/>
        </w:rPr>
      </w:pPr>
      <w:r w:rsidRPr="002D5870">
        <w:rPr>
          <w:szCs w:val="24"/>
          <w:lang w:val="ru-RU"/>
        </w:rPr>
        <w:t xml:space="preserve">Квантовые точки (КТ) </w:t>
      </w:r>
      <w:r w:rsidRPr="002D5870">
        <w:rPr>
          <w:szCs w:val="24"/>
        </w:rPr>
        <w:t>CdSe</w:t>
      </w:r>
      <w:r w:rsidRPr="002D5870">
        <w:rPr>
          <w:szCs w:val="24"/>
          <w:lang w:val="ru-RU"/>
        </w:rPr>
        <w:t>/</w:t>
      </w:r>
      <w:r w:rsidRPr="002D5870">
        <w:rPr>
          <w:szCs w:val="24"/>
        </w:rPr>
        <w:t>ZnSe</w:t>
      </w:r>
      <w:r w:rsidRPr="002D5870">
        <w:rPr>
          <w:szCs w:val="24"/>
          <w:lang w:val="ru-RU"/>
        </w:rPr>
        <w:t>, формируемые эпитаксиальными методами, имеют ряд принципиальных отличий по сравнению с коллоидными КТ. Концентрация С</w:t>
      </w:r>
      <w:r w:rsidRPr="002D5870">
        <w:rPr>
          <w:szCs w:val="24"/>
          <w:lang w:val="en-US"/>
        </w:rPr>
        <w:t>d</w:t>
      </w:r>
      <w:r w:rsidRPr="002D5870">
        <w:rPr>
          <w:szCs w:val="24"/>
          <w:lang w:val="ru-RU"/>
        </w:rPr>
        <w:t xml:space="preserve"> в этих точках максимальна в центре и плавно спадает к краям; форма точек скорее сфероидная, чем сферическая; поляризуемость полупроводниковой матрицы много выше, чем диэлектрической. И, наконец, плотность КТ в двумерном массиве, как правило, велика, т.е. нельзя пренебречь возможным взаимодействием между соседними точками. В работе проведено теоретическое рассмотрение влияния этих особенностей на спектр излучения неоднородных массивов КТ с плотностью 10</w:t>
      </w:r>
      <w:r w:rsidRPr="002D5870">
        <w:rPr>
          <w:szCs w:val="24"/>
          <w:vertAlign w:val="superscript"/>
          <w:lang w:val="ru-RU"/>
        </w:rPr>
        <w:t>11</w:t>
      </w:r>
      <w:r w:rsidRPr="002D5870">
        <w:rPr>
          <w:szCs w:val="24"/>
          <w:lang w:val="ru-RU"/>
        </w:rPr>
        <w:t>-10</w:t>
      </w:r>
      <w:r w:rsidRPr="002D5870">
        <w:rPr>
          <w:szCs w:val="24"/>
          <w:vertAlign w:val="superscript"/>
          <w:lang w:val="ru-RU"/>
        </w:rPr>
        <w:t>12</w:t>
      </w:r>
      <w:r w:rsidRPr="002D5870">
        <w:rPr>
          <w:szCs w:val="24"/>
          <w:lang w:val="ru-RU"/>
        </w:rPr>
        <w:t xml:space="preserve"> см</w:t>
      </w:r>
      <w:r w:rsidRPr="002D5870">
        <w:rPr>
          <w:szCs w:val="24"/>
          <w:vertAlign w:val="superscript"/>
          <w:lang w:val="ru-RU"/>
        </w:rPr>
        <w:t>-2</w:t>
      </w:r>
      <w:r w:rsidRPr="002D5870">
        <w:rPr>
          <w:szCs w:val="24"/>
          <w:lang w:val="ru-RU"/>
        </w:rPr>
        <w:t xml:space="preserve"> и распределением планарных размеров в диапазоне 2-12 нм с пиком на 2-4 нм, сформированных методом молекулярно-пучковой эпитаксии (МПЭ). </w:t>
      </w:r>
    </w:p>
    <w:p w:rsidR="00E97549" w:rsidRPr="002D5870" w:rsidRDefault="00E97549" w:rsidP="00597B23">
      <w:pPr>
        <w:tabs>
          <w:tab w:val="left" w:pos="284"/>
        </w:tabs>
        <w:jc w:val="both"/>
        <w:rPr>
          <w:szCs w:val="24"/>
          <w:lang w:val="ru-RU"/>
        </w:rPr>
      </w:pPr>
      <w:r w:rsidRPr="002D5870">
        <w:rPr>
          <w:szCs w:val="24"/>
          <w:lang w:val="ru-RU"/>
        </w:rPr>
        <w:tab/>
        <w:t xml:space="preserve">На первом этапе моделирование спектров ФЛ массивов КТ проводилось путем расчета плотности состояний </w:t>
      </w:r>
      <w:r w:rsidRPr="002D5870">
        <w:rPr>
          <w:i/>
          <w:szCs w:val="24"/>
          <w:lang w:val="en-US"/>
        </w:rPr>
        <w:t>I</w:t>
      </w:r>
      <w:r w:rsidRPr="002D5870">
        <w:rPr>
          <w:szCs w:val="24"/>
          <w:vertAlign w:val="subscript"/>
          <w:lang w:val="en-US"/>
        </w:rPr>
        <w:t>DOS</w:t>
      </w:r>
      <w:r w:rsidRPr="002D5870">
        <w:rPr>
          <w:szCs w:val="24"/>
          <w:lang w:val="ru-RU"/>
        </w:rPr>
        <w:t xml:space="preserve"> на нижнем уровне размерного квантования экситонов в предположении, что количество вовлеченных в процесс излучения уровней КТ и их энергии определяются распределением точек по размерам, полученным методом просвечивающей электронной микроскопии. Пространственные потенциалы для электронов (дырок) в КТ с градиентным изменением содержания </w:t>
      </w:r>
      <w:r w:rsidRPr="002D5870">
        <w:rPr>
          <w:szCs w:val="24"/>
          <w:lang w:val="en-US"/>
        </w:rPr>
        <w:t>Cd</w:t>
      </w:r>
      <w:r w:rsidRPr="002D5870">
        <w:rPr>
          <w:szCs w:val="24"/>
          <w:lang w:val="ru-RU"/>
        </w:rPr>
        <w:t xml:space="preserve"> были аппроксимированы как </w:t>
      </w:r>
      <w:r w:rsidRPr="002D5870">
        <w:rPr>
          <w:i/>
          <w:szCs w:val="24"/>
          <w:lang w:val="en-US"/>
        </w:rPr>
        <w:t>V</w:t>
      </w:r>
      <w:r w:rsidRPr="002D5870">
        <w:rPr>
          <w:szCs w:val="24"/>
          <w:vertAlign w:val="subscript"/>
          <w:lang w:val="en-US"/>
        </w:rPr>
        <w:t>e</w:t>
      </w:r>
      <w:r w:rsidRPr="002D5870">
        <w:rPr>
          <w:szCs w:val="24"/>
          <w:vertAlign w:val="subscript"/>
          <w:lang w:val="ru-RU"/>
        </w:rPr>
        <w:t>(</w:t>
      </w:r>
      <w:r w:rsidRPr="002D5870">
        <w:rPr>
          <w:szCs w:val="24"/>
          <w:vertAlign w:val="subscript"/>
          <w:lang w:val="en-US"/>
        </w:rPr>
        <w:t>h</w:t>
      </w:r>
      <w:r w:rsidRPr="002D5870">
        <w:rPr>
          <w:szCs w:val="24"/>
          <w:vertAlign w:val="subscript"/>
          <w:lang w:val="ru-RU"/>
        </w:rPr>
        <w:t>)</w:t>
      </w:r>
      <w:r w:rsidRPr="002D5870">
        <w:rPr>
          <w:szCs w:val="24"/>
          <w:lang w:val="ru-RU"/>
        </w:rPr>
        <w:t>(</w:t>
      </w:r>
      <w:r w:rsidRPr="002D5870">
        <w:rPr>
          <w:i/>
          <w:szCs w:val="24"/>
          <w:lang w:val="en-US"/>
        </w:rPr>
        <w:t>r</w:t>
      </w:r>
      <w:r w:rsidRPr="002D5870">
        <w:rPr>
          <w:szCs w:val="24"/>
          <w:lang w:val="ru-RU"/>
        </w:rPr>
        <w:t xml:space="preserve">) = </w:t>
      </w:r>
      <w:r w:rsidRPr="002D5870">
        <w:rPr>
          <w:szCs w:val="24"/>
        </w:rPr>
        <w:sym w:font="Mathematica1" w:char="F044"/>
      </w:r>
      <w:r w:rsidRPr="002D5870">
        <w:rPr>
          <w:i/>
          <w:szCs w:val="24"/>
          <w:lang w:val="en-US"/>
        </w:rPr>
        <w:t>V</w:t>
      </w:r>
      <w:r w:rsidRPr="002D5870">
        <w:rPr>
          <w:szCs w:val="24"/>
          <w:vertAlign w:val="subscript"/>
          <w:lang w:val="en-US"/>
        </w:rPr>
        <w:t>e</w:t>
      </w:r>
      <w:r w:rsidRPr="002D5870">
        <w:rPr>
          <w:szCs w:val="24"/>
          <w:vertAlign w:val="subscript"/>
          <w:lang w:val="ru-RU"/>
        </w:rPr>
        <w:t>(</w:t>
      </w:r>
      <w:r w:rsidRPr="002D5870">
        <w:rPr>
          <w:szCs w:val="24"/>
          <w:vertAlign w:val="subscript"/>
          <w:lang w:val="en-US"/>
        </w:rPr>
        <w:t>h</w:t>
      </w:r>
      <w:r w:rsidRPr="002D5870">
        <w:rPr>
          <w:szCs w:val="24"/>
          <w:vertAlign w:val="subscript"/>
          <w:lang w:val="ru-RU"/>
        </w:rPr>
        <w:t>)</w:t>
      </w:r>
      <w:r w:rsidRPr="00717C13">
        <w:rPr>
          <w:szCs w:val="24"/>
          <w:lang w:val="ru-RU"/>
        </w:rPr>
        <w:t>[</w:t>
      </w:r>
      <w:r w:rsidRPr="002D5870">
        <w:rPr>
          <w:szCs w:val="24"/>
          <w:lang w:val="ru-RU"/>
        </w:rPr>
        <w:t>1-</w:t>
      </w:r>
      <w:r w:rsidRPr="002D5870">
        <w:rPr>
          <w:szCs w:val="24"/>
          <w:lang w:val="en-US"/>
        </w:rPr>
        <w:t>exp</w:t>
      </w:r>
      <w:r w:rsidRPr="00717C13">
        <w:rPr>
          <w:szCs w:val="24"/>
          <w:lang w:val="ru-RU"/>
        </w:rPr>
        <w:t>(</w:t>
      </w:r>
      <w:r w:rsidRPr="002D5870">
        <w:rPr>
          <w:szCs w:val="24"/>
          <w:lang w:val="ru-RU"/>
        </w:rPr>
        <w:t>-</w:t>
      </w:r>
      <w:r w:rsidRPr="00717C13">
        <w:rPr>
          <w:szCs w:val="24"/>
          <w:lang w:val="ru-RU"/>
        </w:rPr>
        <w:t>18</w:t>
      </w:r>
      <w:r w:rsidRPr="00717C13">
        <w:rPr>
          <w:i/>
          <w:szCs w:val="24"/>
          <w:lang w:val="en-US"/>
        </w:rPr>
        <w:t>r</w:t>
      </w:r>
      <w:r w:rsidRPr="00717C13">
        <w:rPr>
          <w:szCs w:val="24"/>
          <w:vertAlign w:val="superscript"/>
          <w:lang w:val="ru-RU"/>
        </w:rPr>
        <w:t>2</w:t>
      </w:r>
      <w:r w:rsidRPr="00717C13">
        <w:rPr>
          <w:szCs w:val="24"/>
          <w:lang w:val="ru-RU"/>
        </w:rPr>
        <w:t>/</w:t>
      </w:r>
      <w:r w:rsidRPr="00717C13">
        <w:rPr>
          <w:i/>
          <w:szCs w:val="24"/>
          <w:lang w:val="en-US"/>
        </w:rPr>
        <w:t>d</w:t>
      </w:r>
      <w:r w:rsidRPr="00717C13">
        <w:rPr>
          <w:szCs w:val="24"/>
          <w:vertAlign w:val="superscript"/>
          <w:lang w:val="ru-RU"/>
        </w:rPr>
        <w:t>2</w:t>
      </w:r>
      <w:r w:rsidRPr="002D5870">
        <w:rPr>
          <w:szCs w:val="24"/>
          <w:lang w:val="ru-RU"/>
        </w:rPr>
        <w:t>)</w:t>
      </w:r>
      <w:r w:rsidRPr="00717C13">
        <w:rPr>
          <w:szCs w:val="24"/>
          <w:lang w:val="ru-RU"/>
        </w:rPr>
        <w:t>]</w:t>
      </w:r>
      <w:r w:rsidRPr="002D5870">
        <w:rPr>
          <w:szCs w:val="24"/>
          <w:lang w:val="ru-RU"/>
        </w:rPr>
        <w:t xml:space="preserve">, где </w:t>
      </w:r>
      <w:r w:rsidRPr="002D5870">
        <w:rPr>
          <w:i/>
          <w:szCs w:val="24"/>
          <w:lang w:val="en-US"/>
        </w:rPr>
        <w:t>r</w:t>
      </w:r>
      <w:r w:rsidRPr="002D5870">
        <w:rPr>
          <w:szCs w:val="24"/>
          <w:lang w:val="ru-RU"/>
        </w:rPr>
        <w:t xml:space="preserve"> - расстояние от центра КТ, </w:t>
      </w:r>
      <w:r w:rsidRPr="002D5870">
        <w:rPr>
          <w:szCs w:val="24"/>
        </w:rPr>
        <w:sym w:font="Mathematica1" w:char="F044"/>
      </w:r>
      <w:r w:rsidRPr="002D5870">
        <w:rPr>
          <w:i/>
          <w:szCs w:val="24"/>
          <w:lang w:val="en-US"/>
        </w:rPr>
        <w:t>V</w:t>
      </w:r>
      <w:r w:rsidRPr="002D5870">
        <w:rPr>
          <w:szCs w:val="24"/>
          <w:vertAlign w:val="subscript"/>
          <w:lang w:val="en-US"/>
        </w:rPr>
        <w:t>e</w:t>
      </w:r>
      <w:r w:rsidRPr="002D5870">
        <w:rPr>
          <w:szCs w:val="24"/>
          <w:vertAlign w:val="subscript"/>
          <w:lang w:val="ru-RU"/>
        </w:rPr>
        <w:t>(</w:t>
      </w:r>
      <w:r w:rsidRPr="002D5870">
        <w:rPr>
          <w:szCs w:val="24"/>
          <w:vertAlign w:val="subscript"/>
          <w:lang w:val="en-US"/>
        </w:rPr>
        <w:t>h</w:t>
      </w:r>
      <w:r w:rsidRPr="002D5870">
        <w:rPr>
          <w:szCs w:val="24"/>
          <w:vertAlign w:val="subscript"/>
          <w:lang w:val="ru-RU"/>
        </w:rPr>
        <w:t xml:space="preserve">)  </w:t>
      </w:r>
      <w:r w:rsidRPr="002D5870">
        <w:rPr>
          <w:szCs w:val="24"/>
          <w:lang w:val="ru-RU"/>
        </w:rPr>
        <w:t xml:space="preserve">- разрыв зон проводимости (валентной зоны), </w:t>
      </w:r>
      <w:r w:rsidRPr="002D5870">
        <w:rPr>
          <w:i/>
          <w:szCs w:val="24"/>
          <w:lang w:val="en-US"/>
        </w:rPr>
        <w:t>d</w:t>
      </w:r>
      <w:r w:rsidRPr="002D5870">
        <w:rPr>
          <w:szCs w:val="24"/>
          <w:lang w:val="ru-RU"/>
        </w:rPr>
        <w:t xml:space="preserve"> – эффективный размер точки. Расчет энергий уровней проводился с учетом сложной структуры валентной зоны с помощью численного и вариационного методов. Кулоновское взаимодействие между носителями заряда и влияние анизотропии КТ учитывалось в рамках первого порядка теории возмущений. Рассчитанный пик плотности состояний </w:t>
      </w:r>
      <w:r w:rsidRPr="002D5870">
        <w:rPr>
          <w:i/>
          <w:szCs w:val="24"/>
          <w:lang w:val="en-US"/>
        </w:rPr>
        <w:t>I</w:t>
      </w:r>
      <w:r w:rsidRPr="002D5870">
        <w:rPr>
          <w:szCs w:val="24"/>
          <w:vertAlign w:val="subscript"/>
          <w:lang w:val="en-US"/>
        </w:rPr>
        <w:t>DOS</w:t>
      </w:r>
      <w:r w:rsidRPr="002D5870">
        <w:rPr>
          <w:szCs w:val="24"/>
          <w:vertAlign w:val="subscript"/>
          <w:lang w:val="ru-RU"/>
        </w:rPr>
        <w:t xml:space="preserve">  </w:t>
      </w:r>
      <w:r w:rsidRPr="002D5870">
        <w:rPr>
          <w:szCs w:val="24"/>
          <w:lang w:val="ru-RU"/>
        </w:rPr>
        <w:t xml:space="preserve">для нижних экситонных уровней находится в диапазоне 2.6-2.7 эВ, что существенно выше пика экспериментальной линии ФЛ (2.4-2.5 эВ) с шириной ~50 мэВ. Такая ситуация может означать, что большая часть КТ не излучает непосредственно, однако участвует в процессе переноса энергии к излучающим состояниям. </w:t>
      </w:r>
    </w:p>
    <w:p w:rsidR="00E97549" w:rsidRPr="002D5870" w:rsidRDefault="00E97549" w:rsidP="00F16CC0">
      <w:pPr>
        <w:ind w:firstLine="284"/>
        <w:jc w:val="both"/>
        <w:rPr>
          <w:szCs w:val="24"/>
          <w:lang w:val="ru-RU"/>
        </w:rPr>
      </w:pPr>
      <w:r w:rsidRPr="002D5870">
        <w:rPr>
          <w:szCs w:val="24"/>
          <w:lang w:val="ru-RU"/>
        </w:rPr>
        <w:t xml:space="preserve">Следующий этап моделирования проводился в предположении резонансного механизма переноса энергии от КТ малого размера к крупным излучающим точкам. Необходимое условие для этого – совпадение нижних экситонных уровней в малых КТ с возбужденными уровнями в крупных точках. Численные расчеты показали, что при диаметре КТ около 6 нм и концентрации </w:t>
      </w:r>
      <w:r w:rsidRPr="002D5870">
        <w:rPr>
          <w:szCs w:val="24"/>
          <w:lang w:val="en-US"/>
        </w:rPr>
        <w:t>CdSe</w:t>
      </w:r>
      <w:r w:rsidRPr="002D5870">
        <w:rPr>
          <w:szCs w:val="24"/>
          <w:lang w:val="ru-RU"/>
        </w:rPr>
        <w:t xml:space="preserve"> в центральной области выше 50% в точках имеется, по крайней мере, один возбужденный уровень для электронов, отстоящий на </w:t>
      </w:r>
      <w:r w:rsidRPr="00717C13">
        <w:rPr>
          <w:szCs w:val="24"/>
        </w:rPr>
        <w:sym w:font="Mathematica1" w:char="F044"/>
      </w:r>
      <w:r w:rsidRPr="00717C13">
        <w:rPr>
          <w:szCs w:val="24"/>
          <w:lang w:val="en-US"/>
        </w:rPr>
        <w:t>E</w:t>
      </w:r>
      <w:r w:rsidRPr="00717C13">
        <w:rPr>
          <w:szCs w:val="24"/>
          <w:lang w:val="ru-RU"/>
        </w:rPr>
        <w:t>=100-200 мэВ</w:t>
      </w:r>
      <w:r w:rsidRPr="002D5870">
        <w:rPr>
          <w:szCs w:val="24"/>
          <w:lang w:val="ru-RU"/>
        </w:rPr>
        <w:t xml:space="preserve">, и несколько близко расположенных уровней для дырок. </w:t>
      </w:r>
      <w:r>
        <w:rPr>
          <w:szCs w:val="24"/>
          <w:lang w:val="ru-RU"/>
        </w:rPr>
        <w:t>Модифицированная плотность состояний</w:t>
      </w:r>
      <w:r w:rsidRPr="002D5870">
        <w:rPr>
          <w:szCs w:val="24"/>
          <w:lang w:val="ru-RU"/>
        </w:rPr>
        <w:t xml:space="preserve"> находилась как </w:t>
      </w:r>
      <w:r w:rsidRPr="002D5870">
        <w:rPr>
          <w:i/>
          <w:szCs w:val="24"/>
          <w:lang w:val="en-US"/>
        </w:rPr>
        <w:t>I</w:t>
      </w:r>
      <w:r w:rsidRPr="002D5870">
        <w:rPr>
          <w:szCs w:val="24"/>
          <w:lang w:val="ru-RU"/>
        </w:rPr>
        <w:t>(</w:t>
      </w:r>
      <w:r w:rsidRPr="002D5870">
        <w:rPr>
          <w:szCs w:val="24"/>
          <w:lang w:val="en-US"/>
        </w:rPr>
        <w:t>E</w:t>
      </w:r>
      <w:r w:rsidRPr="002D5870">
        <w:rPr>
          <w:szCs w:val="24"/>
          <w:lang w:val="ru-RU"/>
        </w:rPr>
        <w:t>)=</w:t>
      </w:r>
      <w:r w:rsidRPr="002D5870">
        <w:rPr>
          <w:i/>
          <w:szCs w:val="24"/>
          <w:lang w:val="en-US"/>
        </w:rPr>
        <w:t>I</w:t>
      </w:r>
      <w:r w:rsidRPr="002D5870">
        <w:rPr>
          <w:szCs w:val="24"/>
          <w:vertAlign w:val="subscript"/>
          <w:lang w:val="en-US"/>
        </w:rPr>
        <w:t>DOS</w:t>
      </w:r>
      <w:r w:rsidRPr="002D5870">
        <w:rPr>
          <w:szCs w:val="24"/>
          <w:lang w:val="ru-RU"/>
        </w:rPr>
        <w:t>(</w:t>
      </w:r>
      <w:r w:rsidRPr="002D5870">
        <w:rPr>
          <w:szCs w:val="24"/>
          <w:lang w:val="en-US"/>
        </w:rPr>
        <w:t>E</w:t>
      </w:r>
      <w:r>
        <w:rPr>
          <w:szCs w:val="24"/>
          <w:lang w:val="ru-RU"/>
        </w:rPr>
        <w:t>)</w:t>
      </w:r>
      <w:r w:rsidRPr="00717C13">
        <w:rPr>
          <w:szCs w:val="24"/>
          <w:lang w:val="ru-RU"/>
        </w:rPr>
        <w:t>[</w:t>
      </w:r>
      <w:r w:rsidRPr="002D5870">
        <w:rPr>
          <w:szCs w:val="24"/>
          <w:lang w:val="ru-RU"/>
        </w:rPr>
        <w:t>1-</w:t>
      </w:r>
      <w:r w:rsidRPr="002D5870">
        <w:rPr>
          <w:i/>
          <w:szCs w:val="24"/>
          <w:lang w:val="en-US"/>
        </w:rPr>
        <w:t>f</w:t>
      </w:r>
      <w:r w:rsidRPr="002D5870">
        <w:rPr>
          <w:szCs w:val="24"/>
          <w:lang w:val="ru-RU"/>
        </w:rPr>
        <w:t>(</w:t>
      </w:r>
      <w:r w:rsidRPr="002D5870">
        <w:rPr>
          <w:szCs w:val="24"/>
          <w:lang w:val="en-US"/>
        </w:rPr>
        <w:t>E</w:t>
      </w:r>
      <w:r w:rsidRPr="002D5870">
        <w:rPr>
          <w:szCs w:val="24"/>
          <w:lang w:val="ru-RU"/>
        </w:rPr>
        <w:t>)</w:t>
      </w:r>
      <w:r w:rsidRPr="00717C13">
        <w:rPr>
          <w:szCs w:val="24"/>
          <w:lang w:val="ru-RU"/>
        </w:rPr>
        <w:t>]</w:t>
      </w:r>
      <w:r w:rsidRPr="002D5870">
        <w:rPr>
          <w:szCs w:val="24"/>
          <w:lang w:val="ru-RU"/>
        </w:rPr>
        <w:t>+</w:t>
      </w:r>
      <w:r w:rsidRPr="002D5870">
        <w:rPr>
          <w:i/>
          <w:szCs w:val="24"/>
          <w:lang w:val="en-US"/>
        </w:rPr>
        <w:t>I</w:t>
      </w:r>
      <w:r w:rsidRPr="002D5870">
        <w:rPr>
          <w:szCs w:val="24"/>
          <w:vertAlign w:val="subscript"/>
          <w:lang w:val="en-US"/>
        </w:rPr>
        <w:t>DOS</w:t>
      </w:r>
      <w:r w:rsidRPr="002D5870">
        <w:rPr>
          <w:szCs w:val="24"/>
          <w:lang w:val="ru-RU"/>
        </w:rPr>
        <w:t>(</w:t>
      </w:r>
      <w:r w:rsidRPr="002D5870">
        <w:rPr>
          <w:szCs w:val="24"/>
          <w:lang w:val="en-US"/>
        </w:rPr>
        <w:t>E</w:t>
      </w:r>
      <w:r w:rsidRPr="002D5870">
        <w:rPr>
          <w:szCs w:val="24"/>
          <w:lang w:val="ru-RU"/>
        </w:rPr>
        <w:t>+</w:t>
      </w:r>
      <w:r w:rsidRPr="002D5870">
        <w:rPr>
          <w:szCs w:val="24"/>
        </w:rPr>
        <w:sym w:font="Mathematica1" w:char="F044"/>
      </w:r>
      <w:r w:rsidRPr="002D5870">
        <w:rPr>
          <w:szCs w:val="24"/>
        </w:rPr>
        <w:t>E</w:t>
      </w:r>
      <w:r w:rsidRPr="002D5870">
        <w:rPr>
          <w:szCs w:val="24"/>
          <w:lang w:val="ru-RU"/>
        </w:rPr>
        <w:t>)</w:t>
      </w:r>
      <w:r w:rsidRPr="002D5870">
        <w:rPr>
          <w:i/>
          <w:szCs w:val="24"/>
          <w:lang w:val="en-US"/>
        </w:rPr>
        <w:t>f</w:t>
      </w:r>
      <w:r w:rsidRPr="002D5870">
        <w:rPr>
          <w:szCs w:val="24"/>
          <w:lang w:val="ru-RU"/>
        </w:rPr>
        <w:t>(</w:t>
      </w:r>
      <w:r w:rsidRPr="002D5870">
        <w:rPr>
          <w:szCs w:val="24"/>
          <w:lang w:val="en-US"/>
        </w:rPr>
        <w:t>E</w:t>
      </w:r>
      <w:r w:rsidRPr="002D5870">
        <w:rPr>
          <w:szCs w:val="24"/>
          <w:lang w:val="ru-RU"/>
        </w:rPr>
        <w:t>+</w:t>
      </w:r>
      <w:r w:rsidRPr="002D5870">
        <w:rPr>
          <w:szCs w:val="24"/>
        </w:rPr>
        <w:sym w:font="Mathematica1" w:char="F044"/>
      </w:r>
      <w:r w:rsidRPr="002D5870">
        <w:rPr>
          <w:szCs w:val="24"/>
        </w:rPr>
        <w:t>E</w:t>
      </w:r>
      <w:r w:rsidRPr="002D5870">
        <w:rPr>
          <w:szCs w:val="24"/>
          <w:lang w:val="ru-RU"/>
        </w:rPr>
        <w:t xml:space="preserve">), где подгоночная функция </w:t>
      </w:r>
      <w:r w:rsidRPr="002D5870">
        <w:rPr>
          <w:i/>
          <w:szCs w:val="24"/>
          <w:lang w:val="en-US"/>
        </w:rPr>
        <w:t>f</w:t>
      </w:r>
      <w:r w:rsidRPr="002D5870">
        <w:rPr>
          <w:szCs w:val="24"/>
          <w:lang w:val="ru-RU"/>
        </w:rPr>
        <w:t>(</w:t>
      </w:r>
      <w:r w:rsidRPr="002D5870">
        <w:rPr>
          <w:szCs w:val="24"/>
          <w:lang w:val="en-US"/>
        </w:rPr>
        <w:t>E</w:t>
      </w:r>
      <w:r w:rsidRPr="002D5870">
        <w:rPr>
          <w:szCs w:val="24"/>
          <w:lang w:val="ru-RU"/>
        </w:rPr>
        <w:t xml:space="preserve">) описывает вероятность  переноса возбуждения по спектру. Моделирование в предположении резонансного переноса при </w:t>
      </w:r>
      <w:r w:rsidRPr="002D5870">
        <w:rPr>
          <w:szCs w:val="24"/>
        </w:rPr>
        <w:sym w:font="Mathematica1" w:char="F044"/>
      </w:r>
      <w:r w:rsidRPr="002D5870">
        <w:rPr>
          <w:szCs w:val="24"/>
          <w:lang w:val="en-US"/>
        </w:rPr>
        <w:t>E</w:t>
      </w:r>
      <w:r w:rsidRPr="002D5870">
        <w:rPr>
          <w:szCs w:val="24"/>
          <w:lang w:val="ru-RU"/>
        </w:rPr>
        <w:t>=150 мэВ позволило  удовлетворительно описать экспериментальный пик ФЛ. В заключение обсуждается вклад нерезонансных каналов переноса энергии с участием фононов и рассматриваются перспективы применения исследованного резонансного механизма для спектральной селекции ограниченного числа КТ.</w:t>
      </w:r>
    </w:p>
    <w:sectPr w:rsidR="00E97549" w:rsidRPr="002D5870" w:rsidSect="00597B23">
      <w:footerReference w:type="default" r:id="rId7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49" w:rsidRDefault="00E97549">
      <w:r>
        <w:separator/>
      </w:r>
    </w:p>
  </w:endnote>
  <w:endnote w:type="continuationSeparator" w:id="0">
    <w:p w:rsidR="00E97549" w:rsidRDefault="00E9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Roman">
    <w:altName w:val="Segoe Prin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ematica1">
    <w:panose1 w:val="050005020601000000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49" w:rsidRDefault="00E97549">
    <w:pPr>
      <w:pStyle w:val="Footer"/>
      <w:jc w:val="right"/>
      <w:rPr>
        <w:rStyle w:val="PageNumber"/>
        <w:rFonts w:ascii="Times New Roman" w:hAnsi="Times New Roman"/>
        <w:sz w:val="16"/>
      </w:rPr>
    </w:pPr>
    <w:r>
      <w:rPr>
        <w:rStyle w:val="PageNumber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49" w:rsidRDefault="00E97549">
      <w:r>
        <w:separator/>
      </w:r>
    </w:p>
  </w:footnote>
  <w:footnote w:type="continuationSeparator" w:id="0">
    <w:p w:rsidR="00E97549" w:rsidRDefault="00E97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75F"/>
    <w:rsid w:val="00001D0F"/>
    <w:rsid w:val="0004107D"/>
    <w:rsid w:val="0005060E"/>
    <w:rsid w:val="00100A98"/>
    <w:rsid w:val="0012176D"/>
    <w:rsid w:val="00135F39"/>
    <w:rsid w:val="001B239D"/>
    <w:rsid w:val="001C4D15"/>
    <w:rsid w:val="00287512"/>
    <w:rsid w:val="002D5870"/>
    <w:rsid w:val="003F2347"/>
    <w:rsid w:val="003F5BEC"/>
    <w:rsid w:val="00423836"/>
    <w:rsid w:val="004949FF"/>
    <w:rsid w:val="00495644"/>
    <w:rsid w:val="004C71A0"/>
    <w:rsid w:val="004D70B8"/>
    <w:rsid w:val="004D743C"/>
    <w:rsid w:val="004E2656"/>
    <w:rsid w:val="00511FD2"/>
    <w:rsid w:val="005372E5"/>
    <w:rsid w:val="00542C8A"/>
    <w:rsid w:val="00597B23"/>
    <w:rsid w:val="005A7E31"/>
    <w:rsid w:val="005C3074"/>
    <w:rsid w:val="006C578C"/>
    <w:rsid w:val="006E7F1F"/>
    <w:rsid w:val="00717C13"/>
    <w:rsid w:val="00775C9F"/>
    <w:rsid w:val="00775FBE"/>
    <w:rsid w:val="008272D8"/>
    <w:rsid w:val="0089105D"/>
    <w:rsid w:val="00893537"/>
    <w:rsid w:val="008B56E4"/>
    <w:rsid w:val="008F48A0"/>
    <w:rsid w:val="00902B97"/>
    <w:rsid w:val="0092479A"/>
    <w:rsid w:val="0096036C"/>
    <w:rsid w:val="00991E76"/>
    <w:rsid w:val="00A9275F"/>
    <w:rsid w:val="00A95F26"/>
    <w:rsid w:val="00AA0334"/>
    <w:rsid w:val="00AD7C39"/>
    <w:rsid w:val="00AE416F"/>
    <w:rsid w:val="00B06489"/>
    <w:rsid w:val="00B2629C"/>
    <w:rsid w:val="00B26EFB"/>
    <w:rsid w:val="00B351C1"/>
    <w:rsid w:val="00B56488"/>
    <w:rsid w:val="00B628CE"/>
    <w:rsid w:val="00B756D2"/>
    <w:rsid w:val="00C66E1C"/>
    <w:rsid w:val="00CC2824"/>
    <w:rsid w:val="00CD0472"/>
    <w:rsid w:val="00DA358E"/>
    <w:rsid w:val="00DF3AAB"/>
    <w:rsid w:val="00E12165"/>
    <w:rsid w:val="00E1248D"/>
    <w:rsid w:val="00E30071"/>
    <w:rsid w:val="00E97549"/>
    <w:rsid w:val="00F16CC0"/>
    <w:rsid w:val="00F3789D"/>
    <w:rsid w:val="00F43085"/>
    <w:rsid w:val="00F91A10"/>
    <w:rsid w:val="00F94727"/>
    <w:rsid w:val="00F96D82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C8A"/>
    <w:rPr>
      <w:kern w:val="16"/>
      <w:sz w:val="24"/>
      <w:szCs w:val="20"/>
      <w:lang w:val="en-GB" w:eastAsia="ar-SA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1"/>
    <w:uiPriority w:val="99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45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456"/>
    <w:rPr>
      <w:rFonts w:asciiTheme="majorHAnsi" w:eastAsiaTheme="majorEastAsia" w:hAnsiTheme="majorHAnsi" w:cstheme="majorBidi"/>
      <w:b/>
      <w:bCs/>
      <w:i/>
      <w:iCs/>
      <w:kern w:val="16"/>
      <w:sz w:val="28"/>
      <w:szCs w:val="28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456"/>
    <w:rPr>
      <w:rFonts w:asciiTheme="majorHAnsi" w:eastAsiaTheme="majorEastAsia" w:hAnsiTheme="majorHAnsi" w:cstheme="majorBidi"/>
      <w:b/>
      <w:bCs/>
      <w:kern w:val="16"/>
      <w:sz w:val="26"/>
      <w:szCs w:val="26"/>
      <w:lang w:val="en-GB" w:eastAsia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kern w:val="16"/>
      <w:sz w:val="28"/>
      <w:szCs w:val="28"/>
      <w:lang w:val="en-GB" w:eastAsia="ar-SA" w:bidi="ar-SA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96036C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a">
    <w:name w:val="Полужирный"/>
    <w:basedOn w:val="DefaultParagraphFont"/>
    <w:uiPriority w:val="99"/>
    <w:rsid w:val="00542C8A"/>
    <w:rPr>
      <w:rFonts w:cs="Times New Roman"/>
      <w:b/>
      <w:bCs/>
      <w:kern w:val="16"/>
    </w:rPr>
  </w:style>
  <w:style w:type="character" w:customStyle="1" w:styleId="a0">
    <w:name w:val="Курсив"/>
    <w:basedOn w:val="DefaultParagraphFont"/>
    <w:uiPriority w:val="99"/>
    <w:rsid w:val="00542C8A"/>
    <w:rPr>
      <w:rFonts w:cs="Times New Roman"/>
      <w:i/>
      <w:kern w:val="16"/>
    </w:rPr>
  </w:style>
  <w:style w:type="character" w:styleId="PageNumber">
    <w:name w:val="page number"/>
    <w:basedOn w:val="DefaultParagraphFont"/>
    <w:uiPriority w:val="99"/>
    <w:rsid w:val="00542C8A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542C8A"/>
    <w:rPr>
      <w:rFonts w:cs="Times New Roman"/>
      <w:color w:val="0000FF"/>
      <w:kern w:val="0"/>
      <w:u w:val="single"/>
    </w:rPr>
  </w:style>
  <w:style w:type="paragraph" w:styleId="Footer">
    <w:name w:val="footer"/>
    <w:basedOn w:val="Normal"/>
    <w:link w:val="FooterChar1"/>
    <w:uiPriority w:val="99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7456"/>
    <w:rPr>
      <w:kern w:val="16"/>
      <w:sz w:val="24"/>
      <w:szCs w:val="20"/>
      <w:lang w:val="en-GB" w:eastAsia="ar-S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kern w:val="16"/>
      <w:sz w:val="24"/>
      <w:lang w:val="en-GB" w:eastAsia="ar-SA" w:bidi="ar-SA"/>
    </w:rPr>
  </w:style>
  <w:style w:type="paragraph" w:customStyle="1" w:styleId="a1">
    <w:name w:val="Авторы"/>
    <w:basedOn w:val="Normal"/>
    <w:uiPriority w:val="99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2">
    <w:name w:val="Организации"/>
    <w:basedOn w:val="Normal"/>
    <w:uiPriority w:val="99"/>
    <w:rsid w:val="00542C8A"/>
    <w:pPr>
      <w:spacing w:before="60" w:after="60"/>
    </w:pPr>
    <w:rPr>
      <w:lang w:val="ru-RU"/>
    </w:rPr>
  </w:style>
  <w:style w:type="paragraph" w:customStyle="1" w:styleId="a3">
    <w:name w:val="Простой текст"/>
    <w:basedOn w:val="Normal"/>
    <w:uiPriority w:val="99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4">
    <w:name w:val="Контакты"/>
    <w:basedOn w:val="a2"/>
    <w:uiPriority w:val="99"/>
    <w:rsid w:val="004949FF"/>
    <w:pPr>
      <w:suppressAutoHyphens/>
    </w:pPr>
    <w:rPr>
      <w:i/>
    </w:rPr>
  </w:style>
  <w:style w:type="paragraph" w:customStyle="1" w:styleId="NumList">
    <w:name w:val="NumList"/>
    <w:basedOn w:val="a3"/>
    <w:uiPriority w:val="99"/>
    <w:rsid w:val="00A9275F"/>
    <w:pPr>
      <w:numPr>
        <w:numId w:val="2"/>
      </w:numPr>
      <w:ind w:left="0" w:firstLine="0"/>
    </w:pPr>
  </w:style>
  <w:style w:type="paragraph" w:customStyle="1" w:styleId="a5">
    <w:name w:val="Отдельная формула"/>
    <w:basedOn w:val="Normal"/>
    <w:uiPriority w:val="99"/>
    <w:rsid w:val="00542C8A"/>
    <w:pPr>
      <w:ind w:left="567"/>
    </w:pPr>
  </w:style>
  <w:style w:type="table" w:styleId="TableGrid">
    <w:name w:val="Table Grid"/>
    <w:basedOn w:val="TableNormal"/>
    <w:uiPriority w:val="99"/>
    <w:rsid w:val="00A927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Ячейка таблицы"/>
    <w:basedOn w:val="a3"/>
    <w:uiPriority w:val="99"/>
    <w:rsid w:val="00542C8A"/>
    <w:pPr>
      <w:ind w:firstLine="0"/>
      <w:jc w:val="center"/>
    </w:pPr>
  </w:style>
  <w:style w:type="paragraph" w:customStyle="1" w:styleId="a7">
    <w:name w:val="Подпись к рисунку"/>
    <w:basedOn w:val="a3"/>
    <w:uiPriority w:val="99"/>
    <w:rsid w:val="00542C8A"/>
    <w:rPr>
      <w:rFonts w:ascii="Arial" w:hAnsi="Arial"/>
      <w:sz w:val="20"/>
      <w:lang w:val="en-US"/>
    </w:rPr>
  </w:style>
  <w:style w:type="paragraph" w:customStyle="1" w:styleId="a8">
    <w:name w:val="Название таблицы"/>
    <w:basedOn w:val="a7"/>
    <w:uiPriority w:val="99"/>
    <w:rsid w:val="00542C8A"/>
    <w:pPr>
      <w:jc w:val="right"/>
    </w:pPr>
  </w:style>
  <w:style w:type="paragraph" w:styleId="Header">
    <w:name w:val="header"/>
    <w:basedOn w:val="Normal"/>
    <w:link w:val="HeaderChar1"/>
    <w:uiPriority w:val="99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7456"/>
    <w:rPr>
      <w:kern w:val="16"/>
      <w:sz w:val="24"/>
      <w:szCs w:val="20"/>
      <w:lang w:val="en-GB" w:eastAsia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kern w:val="16"/>
      <w:sz w:val="24"/>
      <w:lang w:val="en-GB" w:eastAsia="ar-SA" w:bidi="ar-SA"/>
    </w:rPr>
  </w:style>
  <w:style w:type="paragraph" w:customStyle="1" w:styleId="normal1">
    <w:name w:val="normal1"/>
    <w:basedOn w:val="Normal"/>
    <w:uiPriority w:val="99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96036C"/>
    <w:rPr>
      <w:rFonts w:cs="Times New Roman"/>
    </w:rPr>
  </w:style>
  <w:style w:type="character" w:styleId="Strong">
    <w:name w:val="Strong"/>
    <w:basedOn w:val="DefaultParagraphFont"/>
    <w:uiPriority w:val="99"/>
    <w:qFormat/>
    <w:rsid w:val="00542C8A"/>
    <w:rPr>
      <w:rFonts w:cs="Times New Roman"/>
      <w:b/>
      <w:bCs/>
      <w:kern w:val="16"/>
    </w:rPr>
  </w:style>
  <w:style w:type="paragraph" w:styleId="DocumentMap">
    <w:name w:val="Document Map"/>
    <w:basedOn w:val="Normal"/>
    <w:link w:val="DocumentMapChar1"/>
    <w:uiPriority w:val="99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7456"/>
    <w:rPr>
      <w:kern w:val="16"/>
      <w:sz w:val="0"/>
      <w:szCs w:val="0"/>
      <w:lang w:val="en-GB" w:eastAsia="ar-SA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Pr>
      <w:rFonts w:ascii="Tahoma" w:hAnsi="Tahoma" w:cs="Tahoma"/>
      <w:kern w:val="16"/>
      <w:sz w:val="16"/>
      <w:szCs w:val="16"/>
      <w:lang w:val="en-GB" w:eastAsia="ar-SA" w:bidi="ar-SA"/>
    </w:rPr>
  </w:style>
  <w:style w:type="paragraph" w:customStyle="1" w:styleId="a9">
    <w:name w:val="Библиография"/>
    <w:basedOn w:val="a3"/>
    <w:uiPriority w:val="99"/>
    <w:rsid w:val="00542C8A"/>
    <w:pPr>
      <w:tabs>
        <w:tab w:val="left" w:pos="397"/>
      </w:tabs>
      <w:ind w:left="397" w:hanging="397"/>
    </w:pPr>
  </w:style>
  <w:style w:type="paragraph" w:styleId="BalloonText">
    <w:name w:val="Balloon Text"/>
    <w:basedOn w:val="Normal"/>
    <w:link w:val="BalloonTextChar1"/>
    <w:uiPriority w:val="99"/>
    <w:rsid w:val="0010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56"/>
    <w:rPr>
      <w:kern w:val="16"/>
      <w:sz w:val="0"/>
      <w:szCs w:val="0"/>
      <w:lang w:val="en-GB"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00A98"/>
    <w:rPr>
      <w:rFonts w:ascii="Tahoma" w:hAnsi="Tahoma" w:cs="Tahoma"/>
      <w:kern w:val="16"/>
      <w:sz w:val="16"/>
      <w:szCs w:val="16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504</Words>
  <Characters>2877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subject/>
  <dc:creator>WiZaRd</dc:creator>
  <cp:keywords/>
  <dc:description/>
  <cp:lastModifiedBy>User</cp:lastModifiedBy>
  <cp:revision>2</cp:revision>
  <cp:lastPrinted>2015-03-22T11:38:00Z</cp:lastPrinted>
  <dcterms:created xsi:type="dcterms:W3CDTF">2015-03-30T10:19:00Z</dcterms:created>
  <dcterms:modified xsi:type="dcterms:W3CDTF">2015-03-30T10:19:00Z</dcterms:modified>
</cp:coreProperties>
</file>